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等线" w:hAnsi="等线" w:eastAsia="等线"/>
          <w:b/>
          <w:color w:val="auto"/>
          <w:sz w:val="32"/>
          <w:szCs w:val="32"/>
          <w:highlight w:val="none"/>
          <w:lang w:eastAsia="zh-Hans"/>
        </w:rPr>
      </w:pPr>
      <w:r>
        <w:rPr>
          <w:rFonts w:hint="eastAsia" w:ascii="等线" w:hAnsi="等线" w:eastAsia="等线"/>
          <w:b/>
          <w:color w:val="auto"/>
          <w:sz w:val="32"/>
          <w:szCs w:val="32"/>
          <w:highlight w:val="none"/>
          <w:lang w:eastAsia="zh-Hans"/>
        </w:rPr>
        <w:t>《改革开放史》教学大纲</w:t>
      </w:r>
    </w:p>
    <w:p>
      <w:pPr>
        <w:ind w:firstLine="562" w:firstLineChars="200"/>
        <w:rPr>
          <w:rFonts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  <w:t>一、课程基本信息</w:t>
      </w:r>
    </w:p>
    <w:tbl>
      <w:tblPr>
        <w:tblStyle w:val="9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2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课程类别</w:t>
            </w:r>
          </w:p>
        </w:tc>
        <w:tc>
          <w:tcPr>
            <w:tcW w:w="147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</w:rPr>
              <w:t>通识教育课程</w:t>
            </w:r>
          </w:p>
        </w:tc>
        <w:tc>
          <w:tcPr>
            <w:tcW w:w="121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课程性质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eastAsia="zh-Hans"/>
              </w:rPr>
              <w:t>限定选修</w:t>
            </w:r>
          </w:p>
        </w:tc>
        <w:tc>
          <w:tcPr>
            <w:tcW w:w="160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课程属性</w:t>
            </w:r>
          </w:p>
        </w:tc>
        <w:tc>
          <w:tcPr>
            <w:tcW w:w="151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</w:rPr>
              <w:t>理论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改革开放史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 xml:space="preserve">the </w:t>
            </w:r>
            <w:r>
              <w:rPr>
                <w:rFonts w:hint="eastAsia" w:cs="PMingLiU"/>
                <w:color w:val="auto"/>
                <w:sz w:val="21"/>
                <w:szCs w:val="21"/>
                <w:highlight w:val="none"/>
                <w:lang w:eastAsia="zh-Hans"/>
              </w:rPr>
              <w:t>H</w:t>
            </w: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 xml:space="preserve">istory of </w:t>
            </w:r>
            <w:r>
              <w:rPr>
                <w:rFonts w:cs="PMingLiU"/>
                <w:color w:val="auto"/>
                <w:sz w:val="21"/>
                <w:szCs w:val="21"/>
                <w:highlight w:val="none"/>
              </w:rPr>
              <w:t xml:space="preserve">the </w:t>
            </w: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R</w:t>
            </w:r>
            <w:r>
              <w:rPr>
                <w:rFonts w:cs="PMingLiU"/>
                <w:color w:val="auto"/>
                <w:sz w:val="21"/>
                <w:szCs w:val="21"/>
                <w:highlight w:val="none"/>
              </w:rPr>
              <w:t>eform and O</w:t>
            </w: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p</w:t>
            </w:r>
            <w:r>
              <w:rPr>
                <w:rFonts w:cs="PMingLiU"/>
                <w:color w:val="auto"/>
                <w:sz w:val="21"/>
                <w:szCs w:val="21"/>
                <w:highlight w:val="none"/>
              </w:rPr>
              <w:t>ening-up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H34X003DH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全校本科专业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  <w:lang w:eastAsia="zh-Hans"/>
              </w:rPr>
              <w:t>线上</w:t>
            </w: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考试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思想道德与法治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529" w:type="dxa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总学时</w:t>
            </w:r>
          </w:p>
        </w:tc>
        <w:tc>
          <w:tcPr>
            <w:tcW w:w="1345" w:type="dxa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cs="PMingLiU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学分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cs="PMingLiU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理论学时</w:t>
            </w:r>
          </w:p>
        </w:tc>
        <w:tc>
          <w:tcPr>
            <w:tcW w:w="1489" w:type="dxa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cs="PMingLiU"/>
                <w:color w:val="auto"/>
                <w:sz w:val="21"/>
                <w:szCs w:val="21"/>
                <w:highlight w:val="none"/>
              </w:rPr>
              <w:t>32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实验学时</w:t>
            </w:r>
            <w:r>
              <w:rPr>
                <w:rFonts w:cs="PMingLiU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实训学时</w:t>
            </w:r>
            <w:r>
              <w:rPr>
                <w:rFonts w:cs="PMingLiU"/>
                <w:color w:val="auto"/>
                <w:sz w:val="21"/>
                <w:szCs w:val="21"/>
                <w:highlight w:val="none"/>
              </w:rPr>
              <w:t xml:space="preserve">/ </w:t>
            </w: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实践学时</w:t>
            </w:r>
            <w:r>
              <w:rPr>
                <w:rFonts w:cs="PMingLiU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>
            <w:pPr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实践学时：</w:t>
            </w:r>
            <w:r>
              <w:rPr>
                <w:rFonts w:cs="PMingLiU"/>
                <w:color w:val="auto"/>
                <w:sz w:val="21"/>
                <w:szCs w:val="21"/>
                <w:highlight w:val="none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4219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开课单位</w:t>
            </w:r>
          </w:p>
        </w:tc>
        <w:tc>
          <w:tcPr>
            <w:tcW w:w="4678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rPr>
                <w:rFonts w:cs="PMingLiU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PMingLiU"/>
                <w:color w:val="auto"/>
                <w:sz w:val="21"/>
                <w:szCs w:val="21"/>
                <w:highlight w:val="none"/>
              </w:rPr>
              <w:t>马克思主义学院</w:t>
            </w:r>
          </w:p>
        </w:tc>
      </w:tr>
    </w:tbl>
    <w:p>
      <w:pPr>
        <w:ind w:firstLine="562" w:firstLineChars="200"/>
        <w:rPr>
          <w:rFonts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  <w:t>二、课程简介</w:t>
      </w:r>
    </w:p>
    <w:p>
      <w:pPr>
        <w:ind w:right="-625" w:rightChars="-284" w:firstLine="420" w:firstLineChars="200"/>
        <w:jc w:val="both"/>
        <w:rPr>
          <w:rFonts w:cs="Times New Roman"/>
          <w:color w:val="auto"/>
          <w:sz w:val="21"/>
          <w:szCs w:val="21"/>
          <w:highlight w:val="none"/>
        </w:rPr>
      </w:pPr>
      <w:r>
        <w:rPr>
          <w:rFonts w:hint="eastAsia" w:cs="Times New Roman"/>
          <w:color w:val="auto"/>
          <w:sz w:val="21"/>
          <w:szCs w:val="21"/>
          <w:highlight w:val="none"/>
        </w:rPr>
        <w:t>《改革开放史》课程是新时代高校实现立德树人根本任务、贯彻落实中央关于在高校开展“四史”选择性必修课要求的重要阵地，是时代发展的需要，是培养时代新人的需要。</w:t>
      </w:r>
      <w:r>
        <w:rPr>
          <w:rFonts w:hint="eastAsia" w:cs="Times New Roman"/>
          <w:color w:val="auto"/>
          <w:sz w:val="21"/>
          <w:szCs w:val="21"/>
          <w:highlight w:val="none"/>
          <w:lang w:eastAsia="zh-Hans"/>
        </w:rPr>
        <w:t>本课程采用线上学习</w:t>
      </w:r>
      <w:r>
        <w:rPr>
          <w:rFonts w:cs="Times New Roman"/>
          <w:color w:val="auto"/>
          <w:sz w:val="21"/>
          <w:szCs w:val="21"/>
          <w:highlight w:val="none"/>
          <w:lang w:eastAsia="zh-Hans"/>
        </w:rPr>
        <w:t>+</w:t>
      </w:r>
      <w:r>
        <w:rPr>
          <w:rFonts w:hint="eastAsia" w:cs="Times New Roman"/>
          <w:color w:val="auto"/>
          <w:sz w:val="21"/>
          <w:szCs w:val="21"/>
          <w:highlight w:val="none"/>
          <w:lang w:eastAsia="zh-Hans"/>
        </w:rPr>
        <w:t>线下辅导方式授课。其中，线上学习选用大连海事大学</w:t>
      </w:r>
      <w:r>
        <w:rPr>
          <w:rFonts w:hint="eastAsia" w:cs="Times New Roman"/>
          <w:color w:val="auto"/>
          <w:sz w:val="21"/>
          <w:szCs w:val="21"/>
          <w:highlight w:val="none"/>
        </w:rPr>
        <w:t>《改革开放史》刘伟团队</w:t>
      </w:r>
      <w:r>
        <w:rPr>
          <w:rFonts w:hint="eastAsia" w:cs="Times New Roman"/>
          <w:color w:val="auto"/>
          <w:sz w:val="21"/>
          <w:szCs w:val="21"/>
          <w:highlight w:val="none"/>
          <w:lang w:eastAsia="zh-Hans"/>
        </w:rPr>
        <w:t>慕课</w:t>
      </w:r>
      <w:r>
        <w:rPr>
          <w:rFonts w:hint="eastAsia" w:cs="Times New Roman"/>
          <w:color w:val="auto"/>
          <w:sz w:val="21"/>
          <w:szCs w:val="21"/>
          <w:highlight w:val="none"/>
        </w:rPr>
        <w:t>课程</w:t>
      </w:r>
      <w:r>
        <w:rPr>
          <w:rFonts w:hint="eastAsia" w:cs="Times New Roman"/>
          <w:color w:val="auto"/>
          <w:sz w:val="21"/>
          <w:szCs w:val="21"/>
          <w:highlight w:val="none"/>
          <w:lang w:eastAsia="zh-Hans"/>
        </w:rPr>
        <w:t>，</w:t>
      </w:r>
      <w:r>
        <w:rPr>
          <w:rFonts w:hint="eastAsia" w:cs="Times New Roman"/>
          <w:color w:val="auto"/>
          <w:sz w:val="21"/>
          <w:szCs w:val="21"/>
          <w:highlight w:val="none"/>
        </w:rPr>
        <w:t>该课程通过系统的理论阐述、翔实的历史叙述、经典的案例呈现，以立体化逻辑架构、可视化实景呈现、多维化技术运用全景展现了波澜壮阔的改革开放史。</w:t>
      </w:r>
      <w:r>
        <w:rPr>
          <w:rFonts w:hint="eastAsia" w:cs="Times New Roman"/>
          <w:color w:val="auto"/>
          <w:sz w:val="21"/>
          <w:szCs w:val="21"/>
          <w:highlight w:val="none"/>
          <w:lang w:eastAsia="zh-Hans"/>
        </w:rPr>
        <w:t>线下辅导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答疑</w:t>
      </w:r>
      <w:r>
        <w:rPr>
          <w:rFonts w:hint="eastAsia" w:cs="Times New Roman"/>
          <w:color w:val="auto"/>
          <w:sz w:val="21"/>
          <w:szCs w:val="21"/>
          <w:highlight w:val="none"/>
          <w:lang w:eastAsia="zh-Hans"/>
        </w:rPr>
        <w:t>由本校教师进行两次</w:t>
      </w:r>
      <w:r>
        <w:rPr>
          <w:rFonts w:hint="eastAsia" w:cs="Times New Roman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 w:cs="Times New Roman"/>
          <w:color w:val="auto"/>
          <w:sz w:val="21"/>
          <w:szCs w:val="21"/>
          <w:highlight w:val="none"/>
          <w:lang w:eastAsia="zh-Hans"/>
        </w:rPr>
        <w:t>具体内容由教师</w:t>
      </w:r>
      <w:r>
        <w:rPr>
          <w:rFonts w:hint="eastAsia" w:cs="Times New Roman"/>
          <w:color w:val="auto"/>
          <w:sz w:val="21"/>
          <w:szCs w:val="21"/>
          <w:highlight w:val="none"/>
          <w:lang w:val="en-US" w:eastAsia="zh-CN"/>
        </w:rPr>
        <w:t>根据学生实际情况决</w:t>
      </w:r>
      <w:r>
        <w:rPr>
          <w:rFonts w:hint="eastAsia" w:cs="Times New Roman"/>
          <w:color w:val="auto"/>
          <w:sz w:val="21"/>
          <w:szCs w:val="21"/>
          <w:highlight w:val="none"/>
          <w:lang w:eastAsia="zh-Hans"/>
        </w:rPr>
        <w:t>定。</w:t>
      </w:r>
    </w:p>
    <w:p>
      <w:pPr>
        <w:ind w:firstLine="562" w:firstLineChars="200"/>
        <w:rPr>
          <w:rFonts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  <w:t>三、课程教学目标</w:t>
      </w:r>
    </w:p>
    <w:tbl>
      <w:tblPr>
        <w:tblStyle w:val="9"/>
        <w:tblpPr w:leftFromText="180" w:rightFromText="180" w:vertAnchor="text" w:horzAnchor="margin" w:tblpY="174"/>
        <w:tblW w:w="91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677"/>
        <w:gridCol w:w="2835"/>
        <w:gridCol w:w="10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2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课程教学目标</w:t>
            </w:r>
          </w:p>
        </w:tc>
        <w:tc>
          <w:tcPr>
            <w:tcW w:w="2835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支撑人才培养规格指标点</w:t>
            </w:r>
          </w:p>
        </w:tc>
        <w:tc>
          <w:tcPr>
            <w:tcW w:w="1087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1440"/>
              </w:tabs>
              <w:outlineLvl w:val="0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支撑人才培养规格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知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识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4677" w:type="dxa"/>
            <w:vAlign w:val="center"/>
          </w:tcPr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清楚掌握改革开放史的基本脉络及标志性事件；</w:t>
            </w:r>
          </w:p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.深刻理解邓小平“不改革开放、不坚持社会主义，都是死路一条”的科学论断；</w:t>
            </w:r>
          </w:p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理解改革开放40年的基本历史经验。</w:t>
            </w:r>
          </w:p>
        </w:tc>
        <w:tc>
          <w:tcPr>
            <w:tcW w:w="2835" w:type="dxa"/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 xml:space="preserve">1.1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改革开放的历史脉络；</w:t>
            </w:r>
          </w:p>
          <w:p>
            <w:pPr>
              <w:jc w:val="both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 xml:space="preserve">1.2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改革开放的必要性；</w:t>
            </w:r>
          </w:p>
          <w:p>
            <w:pPr>
              <w:jc w:val="both"/>
              <w:rPr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1.3</w:t>
            </w:r>
            <w:r>
              <w:rPr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改革开放的历史经验。</w:t>
            </w:r>
          </w:p>
        </w:tc>
        <w:tc>
          <w:tcPr>
            <w:tcW w:w="108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改革开放史史基础知识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534" w:type="dxa"/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能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力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4677" w:type="dxa"/>
            <w:vAlign w:val="center"/>
          </w:tcPr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运用科学的历史观和方法论分析和评价改革开放问题、辨别改革开放历史是非的能力；</w:t>
            </w:r>
          </w:p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bCs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Hans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运用马克思主义的立场、观点和方法分析和解决问题的能力；</w:t>
            </w:r>
          </w:p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bCs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Hans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较强的自主学习能力，提高学习历史的积极性，激发学习兴趣，增强学习的信心；</w:t>
            </w:r>
          </w:p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bCs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Hans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强化独立思考的能力，提高学生的创新意识。</w:t>
            </w:r>
          </w:p>
        </w:tc>
        <w:tc>
          <w:tcPr>
            <w:tcW w:w="2835" w:type="dxa"/>
          </w:tcPr>
          <w:p>
            <w:pPr>
              <w:jc w:val="both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2.1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运用唯物史观从历史视野和发展规律中思考分析问题、把握前进方向、指导现实工作的历史思维。</w:t>
            </w:r>
          </w:p>
          <w:p>
            <w:pPr>
              <w:jc w:val="both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 xml:space="preserve">2.2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开阔眼界和胸襟，善于把事物放在历史长河中考察，从正反两方面历史经验教训中总结。</w:t>
            </w:r>
          </w:p>
        </w:tc>
        <w:tc>
          <w:tcPr>
            <w:tcW w:w="1087" w:type="dxa"/>
            <w:vAlign w:val="center"/>
          </w:tcPr>
          <w:p>
            <w:pPr>
              <w:shd w:val="clear" w:color="auto" w:fill="FFFFFF"/>
              <w:spacing w:before="75" w:after="75"/>
              <w:ind w:right="75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历史分析方法和发展眼光分析能力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34" w:type="dxa"/>
            <w:tcBorders>
              <w:bottom w:val="single" w:color="auto" w:sz="12" w:space="0"/>
            </w:tcBorders>
            <w:vAlign w:val="center"/>
          </w:tcPr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素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质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目</w:t>
            </w:r>
          </w:p>
          <w:p>
            <w:pPr>
              <w:tabs>
                <w:tab w:val="left" w:pos="1440"/>
              </w:tabs>
              <w:jc w:val="center"/>
              <w:outlineLvl w:val="0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标</w:t>
            </w:r>
          </w:p>
        </w:tc>
        <w:tc>
          <w:tcPr>
            <w:tcW w:w="467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bCs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Hans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增强拥护中国共产党的领导和接受马克思主义理论指导的自觉性，增强执行党的基本路线和基本纲领的自觉性和坚定性，积极投身社会主义现代化强国建设。</w:t>
            </w:r>
          </w:p>
          <w:p>
            <w:pPr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bCs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Hans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自觉总结和汲取历史经验，主动探寻并善于抓住历史问题的背景和本质，提高思想政治素质。</w:t>
            </w:r>
          </w:p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bCs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  <w:lang w:eastAsia="zh-Hans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具有科学态度和创新精神，具有合理提出新思想、新理论、新方法的素养。</w:t>
            </w:r>
          </w:p>
        </w:tc>
        <w:tc>
          <w:tcPr>
            <w:tcW w:w="2835" w:type="dxa"/>
            <w:tcBorders>
              <w:bottom w:val="single" w:color="auto" w:sz="12" w:space="0"/>
            </w:tcBorders>
          </w:tcPr>
          <w:p>
            <w:pPr>
              <w:jc w:val="both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>3.1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树立正确的历史观、民族观、国家观、文化观，增强理论自信、道路自信、制度自信、文化自信。</w:t>
            </w:r>
          </w:p>
          <w:p>
            <w:pPr>
              <w:jc w:val="both"/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color w:val="auto"/>
                <w:sz w:val="21"/>
                <w:szCs w:val="21"/>
                <w:highlight w:val="none"/>
              </w:rPr>
              <w:t xml:space="preserve">3.2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增强民族自尊心、自信心和自豪感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，培养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爱国主义情操和民族意识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。</w:t>
            </w:r>
          </w:p>
        </w:tc>
        <w:tc>
          <w:tcPr>
            <w:tcW w:w="1087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bidi="ar"/>
              </w:rPr>
              <w:t>爱党爱国爱社会主义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 w:bidi="ar"/>
              </w:rPr>
              <w:t>的政治素养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终身学习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的习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惯</w:t>
            </w:r>
          </w:p>
        </w:tc>
      </w:tr>
    </w:tbl>
    <w:p>
      <w:pPr>
        <w:ind w:firstLine="562" w:firstLineChars="200"/>
        <w:rPr>
          <w:rFonts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  <w:t>四、课程主要教学内容、学时安排及教学策略</w:t>
      </w:r>
    </w:p>
    <w:p>
      <w:pPr>
        <w:ind w:firstLine="420" w:firstLineChars="200"/>
        <w:rPr>
          <w:rFonts w:cs="Times New Roman"/>
          <w:color w:val="auto"/>
          <w:sz w:val="21"/>
          <w:szCs w:val="21"/>
          <w:highlight w:val="none"/>
        </w:rPr>
      </w:pPr>
      <w:r>
        <w:rPr>
          <w:rFonts w:hint="eastAsia" w:cs="Times New Roman"/>
          <w:color w:val="auto"/>
          <w:sz w:val="21"/>
          <w:szCs w:val="21"/>
          <w:highlight w:val="none"/>
        </w:rPr>
        <w:t>（一）理论教学</w:t>
      </w:r>
    </w:p>
    <w:tbl>
      <w:tblPr>
        <w:tblStyle w:val="9"/>
        <w:tblW w:w="89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601"/>
        <w:gridCol w:w="4929"/>
        <w:gridCol w:w="997"/>
        <w:gridCol w:w="9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50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教学模块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601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学时</w:t>
            </w:r>
          </w:p>
        </w:tc>
        <w:tc>
          <w:tcPr>
            <w:tcW w:w="4929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主要教学内容与策略</w:t>
            </w:r>
          </w:p>
        </w:tc>
        <w:tc>
          <w:tcPr>
            <w:tcW w:w="997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学习任务安排</w:t>
            </w:r>
          </w:p>
        </w:tc>
        <w:tc>
          <w:tcPr>
            <w:tcW w:w="96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模块一</w:t>
            </w:r>
          </w:p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改革开放的酝酿和起步</w:t>
            </w:r>
          </w:p>
        </w:tc>
        <w:tc>
          <w:tcPr>
            <w:tcW w:w="60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92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重点：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“文革”结束后的中国向何处去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改革开放的酝酿与高层决策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改革开放在大胆试验中起步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难点：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改革开放的必要性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教学方法与策略：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讨论式教学法、比较分析教学法、启发式教学法、讲授式教学法、专题式教学法和案例式教学法等。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课前：学生预习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课堂：讲授、讨论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课后：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完成作业测试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1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2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 xml:space="preserve">模块二 </w:t>
            </w:r>
          </w:p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改革开放的全面展开</w:t>
            </w:r>
          </w:p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92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重点：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改革开放的全面展开与理论建树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在严峻考验中深化改革开放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难点：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中国特色社会主义的提出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苏东巨变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教学方法与策略：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讨论式教学法、比较分析教学法、启发式教学法、讲授式教学法、专题式教学法和案例式教学法等。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课课前：学生预习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课堂：讲授、讨论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课后：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完成作业测试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1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2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3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 xml:space="preserve">模块三 </w:t>
            </w:r>
          </w:p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改革开放的深入发展</w:t>
            </w:r>
          </w:p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0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92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重点： 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邓小平南方谈话与改革开放新阶段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跨世纪的战略谋划与改革开放的深入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发展观的变革与改革开放的推进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难点：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社会主义市场经济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教学方法与策略：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讨论式教学法、比较分析教学法、启发式教学法、讲授式教学法、专题式教学法和案例式教学法等。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课前：学生预习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课堂：讲授、讨论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课后：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完成作业测试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1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2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 xml:space="preserve">模块四 </w:t>
            </w:r>
          </w:p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全面深化改革开放</w:t>
            </w:r>
          </w:p>
        </w:tc>
        <w:tc>
          <w:tcPr>
            <w:tcW w:w="60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492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重点：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bookmarkStart w:id="0" w:name="3_1"/>
            <w:bookmarkEnd w:id="0"/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始终坚持加强和改善党的领导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始终坚持解放思想、实事求是、与时俱进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始终坚持中国特色社会主义政治发展道路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始终坚持发展社会主义先进文化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始终坚持独立自主的和平外交政策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难点：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改革开放的历史经验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教学方法与策略：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讨论式教学法、比较分析教学法、启发式教学法、讲授式教学法、专题式教学法和案例式教学法等。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课前：学生预习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课堂：讲授、讨论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课后：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完成作业测试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1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2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 xml:space="preserve">模块五  </w:t>
            </w:r>
          </w:p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结束语</w:t>
            </w:r>
          </w:p>
        </w:tc>
        <w:tc>
          <w:tcPr>
            <w:tcW w:w="60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bCs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492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重点：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改革开放：中华民族的复兴之路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进一步深化改革开放必须坚持的重要经验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难点：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全面深化改革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教学方法与策略：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讨论式教学法、比较分析教学法、启发式教学法、讲授式教学法、专题式教学法和案例式教学法等。</w:t>
            </w:r>
          </w:p>
        </w:tc>
        <w:tc>
          <w:tcPr>
            <w:tcW w:w="997" w:type="dxa"/>
            <w:tcMar>
              <w:left w:w="28" w:type="dxa"/>
              <w:right w:w="28" w:type="dxa"/>
            </w:tcMar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课前：学生预习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课堂：讲授、讨论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课后：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完成作业测试</w:t>
            </w:r>
          </w:p>
        </w:tc>
        <w:tc>
          <w:tcPr>
            <w:tcW w:w="963" w:type="dxa"/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1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2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目标</w:t>
            </w:r>
            <w:r>
              <w:rPr>
                <w:bCs/>
                <w:color w:val="auto"/>
                <w:sz w:val="21"/>
                <w:szCs w:val="21"/>
                <w:highlight w:val="none"/>
              </w:rPr>
              <w:t>3</w:t>
            </w:r>
          </w:p>
        </w:tc>
      </w:tr>
    </w:tbl>
    <w:p>
      <w:pPr>
        <w:ind w:firstLine="420" w:firstLineChars="200"/>
        <w:rPr>
          <w:rFonts w:cs="Times New Roman"/>
          <w:color w:val="auto"/>
          <w:sz w:val="21"/>
          <w:szCs w:val="21"/>
          <w:highlight w:val="none"/>
        </w:rPr>
      </w:pPr>
    </w:p>
    <w:p>
      <w:pPr>
        <w:ind w:firstLine="420" w:firstLineChars="200"/>
        <w:rPr>
          <w:rFonts w:cs="Times New Roman"/>
          <w:color w:val="auto"/>
          <w:sz w:val="21"/>
          <w:szCs w:val="21"/>
          <w:highlight w:val="none"/>
        </w:rPr>
      </w:pPr>
      <w:r>
        <w:rPr>
          <w:rFonts w:hint="eastAsia" w:cs="Times New Roman"/>
          <w:color w:val="auto"/>
          <w:sz w:val="21"/>
          <w:szCs w:val="21"/>
          <w:highlight w:val="none"/>
        </w:rPr>
        <w:t>（二）实践教学</w:t>
      </w:r>
    </w:p>
    <w:tbl>
      <w:tblPr>
        <w:tblStyle w:val="9"/>
        <w:tblW w:w="86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183"/>
        <w:gridCol w:w="431"/>
        <w:gridCol w:w="2851"/>
        <w:gridCol w:w="850"/>
        <w:gridCol w:w="1947"/>
        <w:gridCol w:w="8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实践类型</w:t>
            </w:r>
          </w:p>
        </w:tc>
        <w:tc>
          <w:tcPr>
            <w:tcW w:w="1183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项目名称</w:t>
            </w:r>
          </w:p>
        </w:tc>
        <w:tc>
          <w:tcPr>
            <w:tcW w:w="431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学时</w:t>
            </w:r>
          </w:p>
        </w:tc>
        <w:tc>
          <w:tcPr>
            <w:tcW w:w="2851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主要教学内容</w:t>
            </w:r>
          </w:p>
        </w:tc>
        <w:tc>
          <w:tcPr>
            <w:tcW w:w="850" w:type="dxa"/>
            <w:tcBorders>
              <w:top w:val="single" w:color="auto" w:sz="12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项目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类型</w:t>
            </w:r>
          </w:p>
        </w:tc>
        <w:tc>
          <w:tcPr>
            <w:tcW w:w="194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项目</w:t>
            </w:r>
          </w:p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要求</w:t>
            </w:r>
          </w:p>
        </w:tc>
        <w:tc>
          <w:tcPr>
            <w:tcW w:w="89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支撑课程目标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3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51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7" w:type="dxa"/>
            <w:vAlign w:val="center"/>
          </w:tcPr>
          <w:p>
            <w:pPr>
              <w:outlineLvl w:val="0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bCs/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482" w:type="dxa"/>
            <w:vAlign w:val="center"/>
          </w:tcPr>
          <w:p>
            <w:pPr>
              <w:outlineLvl w:val="0"/>
              <w:rPr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183" w:type="dxa"/>
            <w:vAlign w:val="center"/>
          </w:tcPr>
          <w:p>
            <w:pPr>
              <w:outlineLvl w:val="0"/>
              <w:rPr>
                <w:bCs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431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851" w:type="dxa"/>
            <w:vAlign w:val="center"/>
          </w:tcPr>
          <w:p>
            <w:pPr>
              <w:jc w:val="both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947" w:type="dxa"/>
            <w:vAlign w:val="center"/>
          </w:tcPr>
          <w:p>
            <w:pPr>
              <w:outlineLvl w:val="0"/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color w:val="auto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82" w:type="dxa"/>
            <w:tcBorders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8157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rPr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备注：</w:t>
            </w:r>
            <w:r>
              <w:rPr>
                <w:color w:val="auto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项目类型填写验证、综合、设计、训练等。</w:t>
            </w:r>
          </w:p>
        </w:tc>
      </w:tr>
    </w:tbl>
    <w:p>
      <w:pPr>
        <w:ind w:firstLine="562" w:firstLineChars="200"/>
        <w:rPr>
          <w:rFonts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  <w:t>五、学生学习成效评估方式及标准</w:t>
      </w:r>
    </w:p>
    <w:p>
      <w:pPr>
        <w:ind w:right="-57" w:rightChars="-26" w:firstLine="420" w:firstLineChars="200"/>
        <w:jc w:val="both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 w:cs="Times New Roman"/>
          <w:color w:val="000000"/>
          <w:sz w:val="21"/>
          <w:szCs w:val="21"/>
        </w:rPr>
        <w:t>考核与评价是对课程教学目标中的知识目标、能力目标和素质目标等进行综合评价。在本课程中，学生的</w:t>
      </w:r>
      <w:r>
        <w:rPr>
          <w:rFonts w:hint="eastAsia" w:cs="Times New Roman"/>
          <w:color w:val="000000"/>
          <w:sz w:val="21"/>
          <w:szCs w:val="21"/>
          <w:lang w:eastAsia="zh-CN"/>
        </w:rPr>
        <w:t>总</w:t>
      </w:r>
      <w:r>
        <w:rPr>
          <w:rFonts w:hint="eastAsia" w:cs="Times New Roman"/>
          <w:color w:val="000000"/>
          <w:sz w:val="21"/>
          <w:szCs w:val="21"/>
        </w:rPr>
        <w:t>成绩</w:t>
      </w:r>
      <w:r>
        <w:rPr>
          <w:rFonts w:hint="eastAsia" w:cs="Times New Roman"/>
          <w:color w:val="000000"/>
          <w:sz w:val="21"/>
          <w:szCs w:val="21"/>
          <w:lang w:eastAsia="zh-CN"/>
        </w:rPr>
        <w:t>由线上学习、考试成绩（章节学习</w:t>
      </w:r>
      <w:r>
        <w:rPr>
          <w:rFonts w:hint="eastAsia" w:cs="Times New Roman"/>
          <w:color w:val="000000"/>
          <w:sz w:val="21"/>
          <w:szCs w:val="21"/>
        </w:rPr>
        <w:t>成绩、章节测试和期末考试等</w:t>
      </w:r>
      <w:r>
        <w:rPr>
          <w:rFonts w:hint="eastAsia" w:cs="Times New Roman"/>
          <w:color w:val="000000"/>
          <w:sz w:val="21"/>
          <w:szCs w:val="21"/>
          <w:lang w:eastAsia="zh-CN"/>
        </w:rPr>
        <w:t>）和线下成绩</w:t>
      </w:r>
      <w:r>
        <w:rPr>
          <w:rFonts w:hint="eastAsia" w:cs="Times New Roman"/>
          <w:color w:val="000000"/>
          <w:sz w:val="21"/>
          <w:szCs w:val="21"/>
        </w:rPr>
        <w:t>组成。</w:t>
      </w:r>
      <w:r>
        <w:rPr>
          <w:rFonts w:hint="eastAsia" w:cs="Times New Roman"/>
          <w:color w:val="000000"/>
          <w:sz w:val="21"/>
          <w:szCs w:val="21"/>
          <w:lang w:eastAsia="zh-CN"/>
        </w:rPr>
        <w:t>线上成绩按照智慧树平台设定的规则执行，折算为总成绩的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90%。</w:t>
      </w:r>
      <w:r>
        <w:rPr>
          <w:rFonts w:hint="eastAsia" w:cs="Times New Roman"/>
          <w:color w:val="000000"/>
          <w:sz w:val="21"/>
          <w:szCs w:val="21"/>
          <w:lang w:eastAsia="zh-CN"/>
        </w:rPr>
        <w:t>线下</w:t>
      </w:r>
      <w:r>
        <w:rPr>
          <w:rFonts w:hint="eastAsia" w:cs="Times New Roman"/>
          <w:color w:val="000000"/>
          <w:sz w:val="21"/>
          <w:szCs w:val="21"/>
        </w:rPr>
        <w:t>成绩</w:t>
      </w:r>
      <w:r>
        <w:rPr>
          <w:rFonts w:hint="eastAsia" w:cs="Times New Roman"/>
          <w:color w:val="000000"/>
          <w:sz w:val="21"/>
          <w:szCs w:val="21"/>
          <w:lang w:eastAsia="zh-CN"/>
        </w:rPr>
        <w:t>折算</w:t>
      </w:r>
      <w:r>
        <w:rPr>
          <w:rFonts w:hint="eastAsia" w:cs="Times New Roman"/>
          <w:color w:val="000000"/>
          <w:sz w:val="21"/>
          <w:szCs w:val="21"/>
        </w:rPr>
        <w:t>占总成绩的</w:t>
      </w:r>
      <w:r>
        <w:rPr>
          <w:rFonts w:hint="eastAsia" w:cs="Times New Roman"/>
          <w:color w:val="000000"/>
          <w:sz w:val="21"/>
          <w:szCs w:val="21"/>
          <w:lang w:val="en-US" w:eastAsia="zh-CN"/>
        </w:rPr>
        <w:t>1</w:t>
      </w:r>
      <w:r>
        <w:rPr>
          <w:rFonts w:hint="eastAsia" w:cs="Times New Roman"/>
          <w:color w:val="000000"/>
          <w:sz w:val="21"/>
          <w:szCs w:val="21"/>
        </w:rPr>
        <w:t>0%</w:t>
      </w:r>
      <w:r>
        <w:rPr>
          <w:rFonts w:hint="eastAsia" w:cs="Times New Roman"/>
          <w:color w:val="000000"/>
          <w:sz w:val="21"/>
          <w:szCs w:val="21"/>
          <w:lang w:eastAsia="zh-CN"/>
        </w:rPr>
        <w:t>。</w:t>
      </w:r>
      <w:r>
        <w:rPr>
          <w:rFonts w:hint="eastAsia" w:cs="Times New Roman"/>
          <w:color w:val="000000"/>
          <w:sz w:val="21"/>
          <w:szCs w:val="21"/>
        </w:rPr>
        <w:t>线下见面课</w:t>
      </w:r>
      <w:r>
        <w:rPr>
          <w:rFonts w:cs="Times New Roman"/>
          <w:color w:val="000000"/>
          <w:sz w:val="21"/>
          <w:szCs w:val="21"/>
        </w:rPr>
        <w:t>2</w:t>
      </w:r>
      <w:r>
        <w:rPr>
          <w:rFonts w:hint="eastAsia" w:cs="Times New Roman"/>
          <w:color w:val="000000"/>
          <w:sz w:val="21"/>
          <w:szCs w:val="21"/>
        </w:rPr>
        <w:t>次，讲授两个专题并辅导答疑。</w:t>
      </w:r>
      <w:r>
        <w:rPr>
          <w:rFonts w:hint="eastAsia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线下</w:t>
      </w:r>
      <w:r>
        <w:rPr>
          <w:rFonts w:hint="eastAsia" w:cs="Times New Roman"/>
          <w:b w:val="0"/>
          <w:bCs w:val="0"/>
          <w:color w:val="auto"/>
          <w:sz w:val="21"/>
          <w:szCs w:val="21"/>
          <w:highlight w:val="none"/>
        </w:rPr>
        <w:t>成绩</w:t>
      </w:r>
      <w:r>
        <w:rPr>
          <w:rFonts w:hint="eastAsia" w:cs="Times New Roman"/>
          <w:b w:val="0"/>
          <w:bCs w:val="0"/>
          <w:color w:val="auto"/>
          <w:sz w:val="21"/>
          <w:szCs w:val="21"/>
          <w:highlight w:val="none"/>
          <w:lang w:val="en-US" w:eastAsia="zh-CN"/>
        </w:rPr>
        <w:t>依据学生课堂综合表现测定，通常以学生出勤情况为主要考察点。</w:t>
      </w:r>
      <w:r>
        <w:rPr>
          <w:rFonts w:hint="eastAsia"/>
          <w:bCs/>
          <w:color w:val="auto"/>
          <w:sz w:val="21"/>
          <w:szCs w:val="21"/>
          <w:highlight w:val="none"/>
        </w:rPr>
        <w:t>学生完成</w:t>
      </w: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>线上</w:t>
      </w:r>
      <w:r>
        <w:rPr>
          <w:rFonts w:hint="eastAsia"/>
          <w:bCs/>
          <w:color w:val="auto"/>
          <w:sz w:val="21"/>
          <w:szCs w:val="21"/>
          <w:highlight w:val="none"/>
        </w:rPr>
        <w:t>90%的任务点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即</w:t>
      </w:r>
      <w:r>
        <w:rPr>
          <w:rFonts w:hint="eastAsia"/>
          <w:bCs/>
          <w:color w:val="auto"/>
          <w:sz w:val="21"/>
          <w:szCs w:val="21"/>
          <w:highlight w:val="none"/>
        </w:rPr>
        <w:t>可以参加考试</w:t>
      </w:r>
      <w:r>
        <w:rPr>
          <w:rFonts w:hint="eastAsia"/>
          <w:bCs/>
          <w:color w:val="auto"/>
          <w:sz w:val="21"/>
          <w:szCs w:val="21"/>
          <w:highlight w:val="none"/>
          <w:lang w:eastAsia="zh-CN"/>
        </w:rPr>
        <w:t>。</w:t>
      </w:r>
      <w:r>
        <w:rPr>
          <w:rFonts w:hint="eastAsia"/>
          <w:bCs/>
          <w:color w:val="auto"/>
          <w:sz w:val="21"/>
          <w:szCs w:val="21"/>
          <w:highlight w:val="none"/>
        </w:rPr>
        <w:t>期末考试只有一次，不设补考。</w:t>
      </w:r>
      <w:bookmarkStart w:id="1" w:name="_GoBack"/>
      <w:bookmarkEnd w:id="1"/>
    </w:p>
    <w:p>
      <w:pPr>
        <w:pStyle w:val="19"/>
        <w:numPr>
          <w:ilvl w:val="0"/>
          <w:numId w:val="1"/>
        </w:numPr>
        <w:ind w:firstLineChars="0"/>
        <w:rPr>
          <w:rFonts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  <w:t>教学安排及要求</w:t>
      </w:r>
    </w:p>
    <w:tbl>
      <w:tblPr>
        <w:tblStyle w:val="9"/>
        <w:tblpPr w:leftFromText="180" w:rightFromText="180" w:vertAnchor="text" w:horzAnchor="page" w:tblpX="1598" w:tblpY="198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1647"/>
        <w:gridCol w:w="60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4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725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教学安排事项</w:t>
            </w:r>
          </w:p>
        </w:tc>
        <w:tc>
          <w:tcPr>
            <w:tcW w:w="6328" w:type="dxa"/>
            <w:tcBorders>
              <w:top w:val="single" w:color="auto" w:sz="12" w:space="0"/>
            </w:tcBorders>
            <w:vAlign w:val="center"/>
          </w:tcPr>
          <w:p>
            <w:pPr>
              <w:ind w:firstLine="420" w:firstLineChars="200"/>
              <w:jc w:val="center"/>
              <w:rPr>
                <w:rFonts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</w:rPr>
              <w:t>要</w:t>
            </w:r>
            <w:r>
              <w:rPr>
                <w:rFonts w:cs="Times New Roman"/>
                <w:color w:val="auto"/>
                <w:sz w:val="21"/>
                <w:szCs w:val="21"/>
                <w:highlight w:val="none"/>
              </w:rPr>
              <w:t xml:space="preserve">    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</w:rPr>
              <w:t>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授课教师</w:t>
            </w:r>
          </w:p>
        </w:tc>
        <w:tc>
          <w:tcPr>
            <w:tcW w:w="6328" w:type="dxa"/>
            <w:vAlign w:val="center"/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职称：讲师以上  学历（位）：本科（学士）以上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其他：取得高等教育教师资格证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课程时间</w:t>
            </w:r>
          </w:p>
        </w:tc>
        <w:tc>
          <w:tcPr>
            <w:tcW w:w="6328" w:type="dxa"/>
            <w:vAlign w:val="center"/>
          </w:tcPr>
          <w:p>
            <w:pPr>
              <w:adjustRightInd w:val="0"/>
              <w:rPr>
                <w:rFonts w:hint="default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线上学习：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/4-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14，线上考试：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202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-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21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线下见面课：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共2次，每次2节，详见课表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授课地点</w:t>
            </w:r>
          </w:p>
        </w:tc>
        <w:tc>
          <w:tcPr>
            <w:tcW w:w="6328" w:type="dxa"/>
            <w:vAlign w:val="center"/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☑教室        □实验室       □室外场地  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□其他：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72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bCs/>
                <w:color w:val="auto"/>
                <w:sz w:val="21"/>
                <w:szCs w:val="21"/>
                <w:highlight w:val="none"/>
              </w:rPr>
              <w:t>学生辅导</w:t>
            </w:r>
          </w:p>
        </w:tc>
        <w:tc>
          <w:tcPr>
            <w:tcW w:w="6328" w:type="dxa"/>
            <w:tcBorders>
              <w:bottom w:val="single" w:color="auto" w:sz="12" w:space="0"/>
            </w:tcBorders>
            <w:vAlign w:val="center"/>
          </w:tcPr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线上方式及时间安排：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Hans"/>
              </w:rPr>
              <w:t>智慧树、企业微信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等，不定期</w:t>
            </w:r>
          </w:p>
          <w:p>
            <w:pPr>
              <w:adjustRightInd w:val="0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线下地点及时间安排：教研室办公地，不定期</w:t>
            </w:r>
          </w:p>
        </w:tc>
      </w:tr>
    </w:tbl>
    <w:p>
      <w:pPr>
        <w:ind w:firstLine="422" w:firstLineChars="150"/>
        <w:rPr>
          <w:rFonts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</w:pPr>
      <w:r>
        <w:rPr>
          <w:rFonts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  <w:t xml:space="preserve"> </w:t>
      </w:r>
      <w:r>
        <w:rPr>
          <w:rFonts w:hint="eastAsia"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  <w:t>七、选用教材</w:t>
      </w:r>
    </w:p>
    <w:p>
      <w:pPr>
        <w:spacing w:line="360" w:lineRule="auto"/>
        <w:ind w:firstLine="420" w:firstLineChars="200"/>
        <w:rPr>
          <w:rFonts w:hint="eastAsia"/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《中国改革开放史》</w:t>
      </w:r>
      <w:r>
        <w:rPr>
          <w:rFonts w:hint="eastAsia"/>
          <w:color w:val="auto"/>
          <w:sz w:val="21"/>
          <w:szCs w:val="21"/>
          <w:highlight w:val="none"/>
          <w:shd w:val="clear" w:color="auto" w:fill="FFFFFF"/>
        </w:rPr>
        <w:t>辽宁人民出版社</w:t>
      </w:r>
      <w:r>
        <w:rPr>
          <w:rFonts w:hint="eastAsia"/>
          <w:color w:val="auto"/>
          <w:sz w:val="21"/>
          <w:szCs w:val="21"/>
          <w:highlight w:val="none"/>
          <w:shd w:val="clear" w:color="auto" w:fill="FFFFFF"/>
          <w:lang w:eastAsia="zh-CN"/>
        </w:rPr>
        <w:t>，</w:t>
      </w:r>
      <w:r>
        <w:rPr>
          <w:color w:val="auto"/>
          <w:sz w:val="21"/>
          <w:szCs w:val="21"/>
          <w:highlight w:val="none"/>
        </w:rPr>
        <w:t>中共中央党史研究室第三研究部编</w:t>
      </w:r>
      <w:r>
        <w:rPr>
          <w:rFonts w:hint="eastAsia"/>
          <w:color w:val="auto"/>
          <w:sz w:val="21"/>
          <w:szCs w:val="21"/>
          <w:highlight w:val="none"/>
          <w:lang w:eastAsia="zh-CN"/>
        </w:rPr>
        <w:t>，</w:t>
      </w:r>
      <w:r>
        <w:rPr>
          <w:rFonts w:hint="eastAsia"/>
          <w:color w:val="auto"/>
          <w:sz w:val="21"/>
          <w:szCs w:val="21"/>
          <w:highlight w:val="none"/>
        </w:rPr>
        <w:t>2002年12月出版</w:t>
      </w:r>
    </w:p>
    <w:p>
      <w:pPr>
        <w:ind w:firstLine="562" w:firstLineChars="200"/>
        <w:rPr>
          <w:rFonts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  <w:t>八．参考资料</w:t>
      </w:r>
    </w:p>
    <w:p>
      <w:pPr>
        <w:pStyle w:val="27"/>
        <w:numPr>
          <w:ilvl w:val="0"/>
          <w:numId w:val="2"/>
        </w:numPr>
        <w:ind w:right="-112" w:rightChars="-51" w:firstLine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《邓小平文选》（3卷本）人民出版社，1994.10</w:t>
      </w:r>
    </w:p>
    <w:p>
      <w:pPr>
        <w:pStyle w:val="27"/>
        <w:numPr>
          <w:ilvl w:val="0"/>
          <w:numId w:val="2"/>
        </w:numPr>
        <w:ind w:right="-112" w:rightChars="-51" w:firstLine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《江泽民文选》（3卷本）人民出版社，2006.8</w:t>
      </w:r>
    </w:p>
    <w:p>
      <w:pPr>
        <w:pStyle w:val="27"/>
        <w:numPr>
          <w:ilvl w:val="0"/>
          <w:numId w:val="2"/>
        </w:numPr>
        <w:ind w:right="-112" w:rightChars="-51" w:firstLine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《中共共产党简史》人民出版社，2021.2</w:t>
      </w:r>
    </w:p>
    <w:p>
      <w:pPr>
        <w:pStyle w:val="27"/>
        <w:numPr>
          <w:ilvl w:val="0"/>
          <w:numId w:val="2"/>
        </w:numPr>
        <w:ind w:right="-112" w:rightChars="-51" w:firstLine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《中华人民共和国专题史稿》四川人民出版社，2004.4</w:t>
      </w:r>
    </w:p>
    <w:p>
      <w:pPr>
        <w:pStyle w:val="27"/>
        <w:numPr>
          <w:ilvl w:val="0"/>
          <w:numId w:val="2"/>
        </w:numPr>
        <w:ind w:right="-112" w:rightChars="-51" w:firstLine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《习近平谈治国理政》外文出版社，2014</w:t>
      </w:r>
    </w:p>
    <w:p>
      <w:pPr>
        <w:pStyle w:val="27"/>
        <w:numPr>
          <w:ilvl w:val="0"/>
          <w:numId w:val="2"/>
        </w:numPr>
        <w:ind w:right="-112" w:rightChars="-51" w:firstLine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《习近平谈治国理政》（卷二）外文出版社，2017</w:t>
      </w:r>
    </w:p>
    <w:p>
      <w:pPr>
        <w:pStyle w:val="27"/>
        <w:numPr>
          <w:ilvl w:val="0"/>
          <w:numId w:val="2"/>
        </w:numPr>
        <w:ind w:right="-112" w:rightChars="-51" w:firstLineChars="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《习近平谈治国理政》（卷三）外文出版社，2020</w:t>
      </w:r>
    </w:p>
    <w:p>
      <w:pPr>
        <w:pStyle w:val="27"/>
        <w:numPr>
          <w:ilvl w:val="0"/>
          <w:numId w:val="2"/>
        </w:numPr>
        <w:ind w:right="-112" w:rightChars="-51" w:firstLineChars="0"/>
        <w:rPr>
          <w:rFonts w:cs="Times New Roman"/>
          <w:color w:val="auto"/>
          <w:sz w:val="21"/>
          <w:szCs w:val="21"/>
          <w:highlight w:val="none"/>
        </w:rPr>
      </w:pPr>
      <w:r>
        <w:rPr>
          <w:rFonts w:hint="eastAsia" w:cs="Times New Roman"/>
          <w:color w:val="auto"/>
          <w:sz w:val="21"/>
          <w:szCs w:val="21"/>
          <w:highlight w:val="none"/>
        </w:rPr>
        <w:t>《习近平总书记系列重要讲话读本》学习出版社，2014</w:t>
      </w:r>
    </w:p>
    <w:p>
      <w:pPr>
        <w:pStyle w:val="27"/>
        <w:numPr>
          <w:ilvl w:val="0"/>
          <w:numId w:val="2"/>
        </w:numPr>
        <w:ind w:right="-112" w:rightChars="-51" w:firstLineChars="0"/>
        <w:rPr>
          <w:rFonts w:cs="Times New Roman"/>
          <w:color w:val="auto"/>
          <w:sz w:val="21"/>
          <w:szCs w:val="21"/>
          <w:highlight w:val="none"/>
        </w:rPr>
      </w:pPr>
      <w:r>
        <w:rPr>
          <w:rFonts w:hint="eastAsia" w:cs="Times New Roman"/>
          <w:color w:val="auto"/>
          <w:sz w:val="21"/>
          <w:szCs w:val="21"/>
          <w:highlight w:val="none"/>
        </w:rPr>
        <w:t>《党的十九大报告辅导读本》人民出版社，2017</w:t>
      </w:r>
    </w:p>
    <w:p>
      <w:pPr>
        <w:pStyle w:val="27"/>
        <w:numPr>
          <w:ilvl w:val="0"/>
          <w:numId w:val="2"/>
        </w:numPr>
        <w:ind w:right="-112" w:rightChars="-51" w:firstLineChars="0"/>
        <w:rPr>
          <w:rFonts w:cs="Times New Roman"/>
          <w:color w:val="auto"/>
          <w:sz w:val="21"/>
          <w:szCs w:val="21"/>
          <w:highlight w:val="none"/>
        </w:rPr>
      </w:pPr>
      <w:r>
        <w:rPr>
          <w:rFonts w:hint="eastAsia" w:cs="Times New Roman"/>
          <w:color w:val="auto"/>
          <w:sz w:val="21"/>
          <w:szCs w:val="21"/>
          <w:highlight w:val="none"/>
        </w:rPr>
        <w:t>《习近平新时代中国特色社会主义思想学习问答》人民出版社，2021</w:t>
      </w:r>
    </w:p>
    <w:p>
      <w:pPr>
        <w:pStyle w:val="27"/>
        <w:numPr>
          <w:ilvl w:val="0"/>
          <w:numId w:val="2"/>
        </w:numPr>
        <w:ind w:right="-112" w:rightChars="-51" w:firstLineChars="0"/>
        <w:rPr>
          <w:rFonts w:cs="Times New Roman"/>
          <w:color w:val="auto"/>
          <w:sz w:val="21"/>
          <w:szCs w:val="21"/>
          <w:highlight w:val="none"/>
        </w:rPr>
      </w:pPr>
      <w:r>
        <w:rPr>
          <w:rFonts w:hint="eastAsia" w:cs="Times New Roman"/>
          <w:color w:val="auto"/>
          <w:sz w:val="21"/>
          <w:szCs w:val="21"/>
          <w:highlight w:val="none"/>
        </w:rPr>
        <w:t>《习近平新时代中国特色社会主义思想三十讲》学习出版社，2018</w:t>
      </w:r>
    </w:p>
    <w:p>
      <w:pPr>
        <w:spacing w:line="360" w:lineRule="auto"/>
        <w:ind w:firstLine="422" w:firstLineChars="150"/>
        <w:rPr>
          <w:rFonts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</w:pPr>
      <w:r>
        <w:rPr>
          <w:rFonts w:hint="eastAsia" w:ascii="Times New Roman" w:cs="Times New Roman" w:hAnsiTheme="minorHAnsi" w:eastAsiaTheme="minorEastAsia"/>
          <w:b/>
          <w:color w:val="auto"/>
          <w:kern w:val="2"/>
          <w:sz w:val="28"/>
          <w:szCs w:val="28"/>
          <w:highlight w:val="none"/>
        </w:rPr>
        <w:t>其他资料</w:t>
      </w:r>
    </w:p>
    <w:p>
      <w:pPr>
        <w:tabs>
          <w:tab w:val="center" w:pos="4373"/>
        </w:tabs>
        <w:spacing w:line="360" w:lineRule="auto"/>
        <w:ind w:firstLine="420" w:firstLineChars="200"/>
        <w:rPr>
          <w:color w:val="auto"/>
          <w:sz w:val="21"/>
          <w:szCs w:val="21"/>
          <w:highlight w:val="none"/>
          <w:lang w:eastAsia="zh-Hans"/>
        </w:rPr>
      </w:pPr>
      <w:r>
        <w:rPr>
          <w:rFonts w:hint="eastAsia"/>
          <w:color w:val="auto"/>
          <w:sz w:val="21"/>
          <w:szCs w:val="21"/>
          <w:highlight w:val="none"/>
        </w:rPr>
        <w:t>1.</w:t>
      </w:r>
      <w:r>
        <w:rPr>
          <w:rFonts w:hint="eastAsia"/>
          <w:color w:val="auto"/>
          <w:sz w:val="21"/>
          <w:szCs w:val="21"/>
          <w:highlight w:val="none"/>
          <w:lang w:eastAsia="zh-Hans"/>
        </w:rPr>
        <w:t>智慧树APP</w:t>
      </w:r>
    </w:p>
    <w:p>
      <w:pPr>
        <w:tabs>
          <w:tab w:val="center" w:pos="4373"/>
        </w:tabs>
        <w:spacing w:line="360" w:lineRule="auto"/>
        <w:ind w:firstLine="420" w:firstLineChars="200"/>
        <w:rPr>
          <w:color w:val="auto"/>
          <w:sz w:val="21"/>
          <w:szCs w:val="21"/>
          <w:highlight w:val="none"/>
        </w:rPr>
      </w:pPr>
      <w:r>
        <w:rPr>
          <w:rFonts w:hint="eastAsia"/>
          <w:color w:val="auto"/>
          <w:sz w:val="21"/>
          <w:szCs w:val="21"/>
          <w:highlight w:val="none"/>
        </w:rPr>
        <w:t>2.超星学习通</w:t>
      </w:r>
      <w:r>
        <w:rPr>
          <w:color w:val="auto"/>
          <w:sz w:val="21"/>
          <w:szCs w:val="21"/>
          <w:highlight w:val="none"/>
        </w:rPr>
        <w:t>APP</w:t>
      </w:r>
      <w:r>
        <w:rPr>
          <w:color w:val="auto"/>
          <w:sz w:val="21"/>
          <w:szCs w:val="21"/>
          <w:highlight w:val="none"/>
        </w:rPr>
        <w:tab/>
      </w:r>
    </w:p>
    <w:p>
      <w:pPr>
        <w:spacing w:line="360" w:lineRule="auto"/>
        <w:ind w:right="840" w:firstLine="3990" w:firstLineChars="1900"/>
        <w:jc w:val="center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 xml:space="preserve"> </w:t>
      </w:r>
      <w:r>
        <w:rPr>
          <w:bCs/>
          <w:color w:val="auto"/>
          <w:sz w:val="21"/>
          <w:szCs w:val="21"/>
          <w:highlight w:val="none"/>
        </w:rPr>
        <w:t xml:space="preserve">           </w:t>
      </w:r>
      <w:r>
        <w:rPr>
          <w:rFonts w:hint="eastAsia"/>
          <w:bCs/>
          <w:color w:val="auto"/>
          <w:sz w:val="21"/>
          <w:szCs w:val="21"/>
          <w:highlight w:val="none"/>
        </w:rPr>
        <w:t>大纲执笔人：王静</w:t>
      </w:r>
      <w:r>
        <w:rPr>
          <w:bCs/>
          <w:color w:val="auto"/>
          <w:sz w:val="21"/>
          <w:szCs w:val="21"/>
          <w:highlight w:val="none"/>
        </w:rPr>
        <w:t xml:space="preserve"> </w:t>
      </w:r>
    </w:p>
    <w:p>
      <w:pPr>
        <w:spacing w:line="360" w:lineRule="auto"/>
        <w:ind w:firstLine="3045" w:firstLineChars="1450"/>
        <w:jc w:val="right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讨论参与人：陈海华、刘惠芳</w:t>
      </w:r>
    </w:p>
    <w:p>
      <w:pPr>
        <w:spacing w:line="360" w:lineRule="auto"/>
        <w:ind w:right="420" w:firstLine="3045" w:firstLineChars="1450"/>
        <w:jc w:val="right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</w:rPr>
        <w:t>系（教研室）主任：刘军</w:t>
      </w:r>
    </w:p>
    <w:p>
      <w:pPr>
        <w:spacing w:line="360" w:lineRule="auto"/>
        <w:ind w:firstLine="3045" w:firstLineChars="1450"/>
        <w:jc w:val="center"/>
        <w:rPr>
          <w:bCs/>
          <w:color w:val="auto"/>
          <w:sz w:val="21"/>
          <w:szCs w:val="21"/>
          <w:highlight w:val="none"/>
        </w:rPr>
      </w:pPr>
      <w:r>
        <w:rPr>
          <w:rFonts w:hint="eastAsia"/>
          <w:bCs/>
          <w:color w:val="auto"/>
          <w:sz w:val="21"/>
          <w:szCs w:val="21"/>
          <w:highlight w:val="none"/>
          <w:lang w:val="en-US" w:eastAsia="zh-CN"/>
        </w:rPr>
        <w:t xml:space="preserve">                      </w:t>
      </w:r>
      <w:r>
        <w:rPr>
          <w:rFonts w:hint="eastAsia"/>
          <w:bCs/>
          <w:color w:val="auto"/>
          <w:sz w:val="21"/>
          <w:szCs w:val="21"/>
          <w:highlight w:val="none"/>
        </w:rPr>
        <w:t>学院（部）审核人：许修杰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CD06D4"/>
    <w:multiLevelType w:val="multilevel"/>
    <w:tmpl w:val="07CD06D4"/>
    <w:lvl w:ilvl="0" w:tentative="0">
      <w:start w:val="6"/>
      <w:numFmt w:val="japaneseCounting"/>
      <w:lvlText w:val="%1、"/>
      <w:lvlJc w:val="left"/>
      <w:pPr>
        <w:ind w:left="1142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126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68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52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94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78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4202" w:hanging="420"/>
      </w:pPr>
      <w:rPr>
        <w:rFonts w:cs="Times New Roman"/>
      </w:rPr>
    </w:lvl>
  </w:abstractNum>
  <w:abstractNum w:abstractNumId="1">
    <w:nsid w:val="25D47A32"/>
    <w:multiLevelType w:val="multilevel"/>
    <w:tmpl w:val="25D47A32"/>
    <w:lvl w:ilvl="0" w:tentative="0">
      <w:start w:val="1"/>
      <w:numFmt w:val="decimal"/>
      <w:lvlText w:val="[%1]"/>
      <w:lvlJc w:val="left"/>
      <w:pPr>
        <w:ind w:left="860" w:hanging="44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lkZjU0OTI4MjBmYmJmYWE3MTRjZDQ4ZjM5NjZjNmIifQ=="/>
  </w:docVars>
  <w:rsids>
    <w:rsidRoot w:val="00632752"/>
    <w:rsid w:val="00011180"/>
    <w:rsid w:val="00012F97"/>
    <w:rsid w:val="00023FC9"/>
    <w:rsid w:val="0003009E"/>
    <w:rsid w:val="00030E80"/>
    <w:rsid w:val="00034057"/>
    <w:rsid w:val="0004372E"/>
    <w:rsid w:val="00044DCE"/>
    <w:rsid w:val="00047FA9"/>
    <w:rsid w:val="00050E45"/>
    <w:rsid w:val="00060933"/>
    <w:rsid w:val="00062163"/>
    <w:rsid w:val="0007793C"/>
    <w:rsid w:val="000840E9"/>
    <w:rsid w:val="000A2842"/>
    <w:rsid w:val="000A68EC"/>
    <w:rsid w:val="000A6BBC"/>
    <w:rsid w:val="000B1B61"/>
    <w:rsid w:val="000B3689"/>
    <w:rsid w:val="000B521A"/>
    <w:rsid w:val="000C0CA1"/>
    <w:rsid w:val="000C0CAF"/>
    <w:rsid w:val="000C1F9B"/>
    <w:rsid w:val="000D4E88"/>
    <w:rsid w:val="000D56FA"/>
    <w:rsid w:val="000E3FE2"/>
    <w:rsid w:val="000E49EE"/>
    <w:rsid w:val="000E73D4"/>
    <w:rsid w:val="00103557"/>
    <w:rsid w:val="00105F70"/>
    <w:rsid w:val="0011138E"/>
    <w:rsid w:val="00120FC2"/>
    <w:rsid w:val="00123550"/>
    <w:rsid w:val="00144F35"/>
    <w:rsid w:val="001503BF"/>
    <w:rsid w:val="00150800"/>
    <w:rsid w:val="00174991"/>
    <w:rsid w:val="00187E48"/>
    <w:rsid w:val="00191205"/>
    <w:rsid w:val="001A2A24"/>
    <w:rsid w:val="001C4E24"/>
    <w:rsid w:val="001E5199"/>
    <w:rsid w:val="001E64F4"/>
    <w:rsid w:val="001E6D7D"/>
    <w:rsid w:val="001F5DB8"/>
    <w:rsid w:val="002012FE"/>
    <w:rsid w:val="002014DA"/>
    <w:rsid w:val="00204CE5"/>
    <w:rsid w:val="00213CFD"/>
    <w:rsid w:val="00216966"/>
    <w:rsid w:val="00216A0E"/>
    <w:rsid w:val="0022295E"/>
    <w:rsid w:val="0022728B"/>
    <w:rsid w:val="00233409"/>
    <w:rsid w:val="00233AAF"/>
    <w:rsid w:val="00240FA9"/>
    <w:rsid w:val="0025574C"/>
    <w:rsid w:val="0026365B"/>
    <w:rsid w:val="00273EBF"/>
    <w:rsid w:val="0027534C"/>
    <w:rsid w:val="0028091D"/>
    <w:rsid w:val="00287E76"/>
    <w:rsid w:val="00291C0C"/>
    <w:rsid w:val="002936CD"/>
    <w:rsid w:val="00294D38"/>
    <w:rsid w:val="002C3FA5"/>
    <w:rsid w:val="002D11C3"/>
    <w:rsid w:val="002D4E68"/>
    <w:rsid w:val="002F4DBA"/>
    <w:rsid w:val="002F7CA5"/>
    <w:rsid w:val="00300BCE"/>
    <w:rsid w:val="0030368D"/>
    <w:rsid w:val="00340B80"/>
    <w:rsid w:val="00345050"/>
    <w:rsid w:val="00351D6A"/>
    <w:rsid w:val="00366992"/>
    <w:rsid w:val="00372B2E"/>
    <w:rsid w:val="00374BEF"/>
    <w:rsid w:val="00380BBF"/>
    <w:rsid w:val="003916F2"/>
    <w:rsid w:val="003B1BC3"/>
    <w:rsid w:val="003B2582"/>
    <w:rsid w:val="003E0E48"/>
    <w:rsid w:val="003F0FF9"/>
    <w:rsid w:val="00413690"/>
    <w:rsid w:val="00414877"/>
    <w:rsid w:val="004279C5"/>
    <w:rsid w:val="004346E5"/>
    <w:rsid w:val="00443FBF"/>
    <w:rsid w:val="00457948"/>
    <w:rsid w:val="004720F5"/>
    <w:rsid w:val="004A2064"/>
    <w:rsid w:val="004A526E"/>
    <w:rsid w:val="004A7111"/>
    <w:rsid w:val="004B3763"/>
    <w:rsid w:val="004B3932"/>
    <w:rsid w:val="004B3EB6"/>
    <w:rsid w:val="004B7AE5"/>
    <w:rsid w:val="004C5D24"/>
    <w:rsid w:val="004D2667"/>
    <w:rsid w:val="004D7106"/>
    <w:rsid w:val="004F6C16"/>
    <w:rsid w:val="005075A8"/>
    <w:rsid w:val="0051359C"/>
    <w:rsid w:val="00523F10"/>
    <w:rsid w:val="005277AE"/>
    <w:rsid w:val="005363E6"/>
    <w:rsid w:val="00544556"/>
    <w:rsid w:val="0055486E"/>
    <w:rsid w:val="00562BEA"/>
    <w:rsid w:val="00570852"/>
    <w:rsid w:val="0057141D"/>
    <w:rsid w:val="00583961"/>
    <w:rsid w:val="005A04B7"/>
    <w:rsid w:val="005A3A41"/>
    <w:rsid w:val="005A4EB1"/>
    <w:rsid w:val="005B4453"/>
    <w:rsid w:val="005B6DC4"/>
    <w:rsid w:val="005B7320"/>
    <w:rsid w:val="005C2D28"/>
    <w:rsid w:val="005C6C15"/>
    <w:rsid w:val="005C71DD"/>
    <w:rsid w:val="005D21E0"/>
    <w:rsid w:val="005D4883"/>
    <w:rsid w:val="005E052D"/>
    <w:rsid w:val="005E3CD8"/>
    <w:rsid w:val="00616DF7"/>
    <w:rsid w:val="00632752"/>
    <w:rsid w:val="00643418"/>
    <w:rsid w:val="00650172"/>
    <w:rsid w:val="006631D8"/>
    <w:rsid w:val="0066464D"/>
    <w:rsid w:val="00665D27"/>
    <w:rsid w:val="00684B6E"/>
    <w:rsid w:val="006A56FF"/>
    <w:rsid w:val="006B1718"/>
    <w:rsid w:val="006B4279"/>
    <w:rsid w:val="006D0671"/>
    <w:rsid w:val="006F183B"/>
    <w:rsid w:val="00712693"/>
    <w:rsid w:val="00714338"/>
    <w:rsid w:val="007229EA"/>
    <w:rsid w:val="007275E2"/>
    <w:rsid w:val="00737972"/>
    <w:rsid w:val="00741771"/>
    <w:rsid w:val="00745D2A"/>
    <w:rsid w:val="007472A1"/>
    <w:rsid w:val="007552D4"/>
    <w:rsid w:val="0076347C"/>
    <w:rsid w:val="00763BD3"/>
    <w:rsid w:val="00772B24"/>
    <w:rsid w:val="007800DD"/>
    <w:rsid w:val="0079069F"/>
    <w:rsid w:val="0079443C"/>
    <w:rsid w:val="007A2C62"/>
    <w:rsid w:val="007A655C"/>
    <w:rsid w:val="007B151C"/>
    <w:rsid w:val="007C1730"/>
    <w:rsid w:val="007C2EA4"/>
    <w:rsid w:val="007C3892"/>
    <w:rsid w:val="007C3E25"/>
    <w:rsid w:val="007C7659"/>
    <w:rsid w:val="007D03DD"/>
    <w:rsid w:val="007D29D6"/>
    <w:rsid w:val="007F0AEF"/>
    <w:rsid w:val="008116FC"/>
    <w:rsid w:val="0081622B"/>
    <w:rsid w:val="00825115"/>
    <w:rsid w:val="00836110"/>
    <w:rsid w:val="00840C7D"/>
    <w:rsid w:val="00840F15"/>
    <w:rsid w:val="0084252C"/>
    <w:rsid w:val="00842ACF"/>
    <w:rsid w:val="00846FA2"/>
    <w:rsid w:val="00847A96"/>
    <w:rsid w:val="00850479"/>
    <w:rsid w:val="00861490"/>
    <w:rsid w:val="00861FDF"/>
    <w:rsid w:val="00871AA0"/>
    <w:rsid w:val="00882437"/>
    <w:rsid w:val="0088342A"/>
    <w:rsid w:val="0088760C"/>
    <w:rsid w:val="0089459B"/>
    <w:rsid w:val="008B05B0"/>
    <w:rsid w:val="008B51C1"/>
    <w:rsid w:val="008C7AFD"/>
    <w:rsid w:val="008E62E0"/>
    <w:rsid w:val="008F2355"/>
    <w:rsid w:val="008F4497"/>
    <w:rsid w:val="008F518F"/>
    <w:rsid w:val="009022C9"/>
    <w:rsid w:val="009114B1"/>
    <w:rsid w:val="00913571"/>
    <w:rsid w:val="00913624"/>
    <w:rsid w:val="00917D15"/>
    <w:rsid w:val="009521F8"/>
    <w:rsid w:val="00964E89"/>
    <w:rsid w:val="0099068B"/>
    <w:rsid w:val="00993453"/>
    <w:rsid w:val="009A6F6D"/>
    <w:rsid w:val="009B0643"/>
    <w:rsid w:val="009B57C5"/>
    <w:rsid w:val="009B665E"/>
    <w:rsid w:val="009B677B"/>
    <w:rsid w:val="009B6B98"/>
    <w:rsid w:val="009C5136"/>
    <w:rsid w:val="009D34AA"/>
    <w:rsid w:val="009F33F9"/>
    <w:rsid w:val="009F4BCE"/>
    <w:rsid w:val="009F68E7"/>
    <w:rsid w:val="009F76C2"/>
    <w:rsid w:val="00A23CF4"/>
    <w:rsid w:val="00A3237B"/>
    <w:rsid w:val="00A34D69"/>
    <w:rsid w:val="00A435E7"/>
    <w:rsid w:val="00A56DBB"/>
    <w:rsid w:val="00A70534"/>
    <w:rsid w:val="00A7284C"/>
    <w:rsid w:val="00A72B4B"/>
    <w:rsid w:val="00A779A8"/>
    <w:rsid w:val="00A8237D"/>
    <w:rsid w:val="00A82615"/>
    <w:rsid w:val="00AA63EA"/>
    <w:rsid w:val="00AC1D90"/>
    <w:rsid w:val="00AC1F1C"/>
    <w:rsid w:val="00AD4E2E"/>
    <w:rsid w:val="00AD4FD5"/>
    <w:rsid w:val="00AE7FA1"/>
    <w:rsid w:val="00AF277A"/>
    <w:rsid w:val="00AF3487"/>
    <w:rsid w:val="00AF725F"/>
    <w:rsid w:val="00AF7DD3"/>
    <w:rsid w:val="00B10F80"/>
    <w:rsid w:val="00B23BF8"/>
    <w:rsid w:val="00B333B4"/>
    <w:rsid w:val="00B3782A"/>
    <w:rsid w:val="00B436B8"/>
    <w:rsid w:val="00B449ED"/>
    <w:rsid w:val="00B54AB5"/>
    <w:rsid w:val="00B63932"/>
    <w:rsid w:val="00B84CB0"/>
    <w:rsid w:val="00B85BF6"/>
    <w:rsid w:val="00B953E9"/>
    <w:rsid w:val="00B956F5"/>
    <w:rsid w:val="00BA2019"/>
    <w:rsid w:val="00BA296C"/>
    <w:rsid w:val="00BB577E"/>
    <w:rsid w:val="00BD4155"/>
    <w:rsid w:val="00BF0982"/>
    <w:rsid w:val="00BF09BF"/>
    <w:rsid w:val="00BF11E8"/>
    <w:rsid w:val="00BF53AB"/>
    <w:rsid w:val="00C0026A"/>
    <w:rsid w:val="00C03121"/>
    <w:rsid w:val="00C049BF"/>
    <w:rsid w:val="00C072FC"/>
    <w:rsid w:val="00C24F72"/>
    <w:rsid w:val="00C3545E"/>
    <w:rsid w:val="00C43C2D"/>
    <w:rsid w:val="00C51F26"/>
    <w:rsid w:val="00C6534E"/>
    <w:rsid w:val="00C74014"/>
    <w:rsid w:val="00C7545C"/>
    <w:rsid w:val="00C835FC"/>
    <w:rsid w:val="00C83EAC"/>
    <w:rsid w:val="00C87F5C"/>
    <w:rsid w:val="00CA07F7"/>
    <w:rsid w:val="00CC19E6"/>
    <w:rsid w:val="00CE6318"/>
    <w:rsid w:val="00CE7994"/>
    <w:rsid w:val="00CF03E4"/>
    <w:rsid w:val="00CF16BD"/>
    <w:rsid w:val="00CF78D4"/>
    <w:rsid w:val="00D00979"/>
    <w:rsid w:val="00D0214A"/>
    <w:rsid w:val="00D14C43"/>
    <w:rsid w:val="00D40D69"/>
    <w:rsid w:val="00D574B2"/>
    <w:rsid w:val="00D57C32"/>
    <w:rsid w:val="00D60986"/>
    <w:rsid w:val="00D62081"/>
    <w:rsid w:val="00D720A4"/>
    <w:rsid w:val="00D76378"/>
    <w:rsid w:val="00D80209"/>
    <w:rsid w:val="00D82975"/>
    <w:rsid w:val="00D83729"/>
    <w:rsid w:val="00D930FB"/>
    <w:rsid w:val="00D972B3"/>
    <w:rsid w:val="00DA253E"/>
    <w:rsid w:val="00DA671A"/>
    <w:rsid w:val="00DB55C7"/>
    <w:rsid w:val="00DC1C57"/>
    <w:rsid w:val="00DE26A6"/>
    <w:rsid w:val="00DE4761"/>
    <w:rsid w:val="00E02F74"/>
    <w:rsid w:val="00E0372E"/>
    <w:rsid w:val="00E10583"/>
    <w:rsid w:val="00E23959"/>
    <w:rsid w:val="00E24C55"/>
    <w:rsid w:val="00E37A20"/>
    <w:rsid w:val="00E47A1D"/>
    <w:rsid w:val="00E526FB"/>
    <w:rsid w:val="00E64F49"/>
    <w:rsid w:val="00E665AB"/>
    <w:rsid w:val="00E85394"/>
    <w:rsid w:val="00E91080"/>
    <w:rsid w:val="00E91677"/>
    <w:rsid w:val="00EA2E15"/>
    <w:rsid w:val="00EB527D"/>
    <w:rsid w:val="00EB71AC"/>
    <w:rsid w:val="00EC40F8"/>
    <w:rsid w:val="00EC7857"/>
    <w:rsid w:val="00ED1F9E"/>
    <w:rsid w:val="00F008FE"/>
    <w:rsid w:val="00F11E38"/>
    <w:rsid w:val="00F12390"/>
    <w:rsid w:val="00F21BDD"/>
    <w:rsid w:val="00F362B1"/>
    <w:rsid w:val="00F50B2F"/>
    <w:rsid w:val="00F50C09"/>
    <w:rsid w:val="00F61D9C"/>
    <w:rsid w:val="00F64AB0"/>
    <w:rsid w:val="00F64EB7"/>
    <w:rsid w:val="00F67D31"/>
    <w:rsid w:val="00F8558E"/>
    <w:rsid w:val="00F92F0E"/>
    <w:rsid w:val="00FD55B1"/>
    <w:rsid w:val="00FD5729"/>
    <w:rsid w:val="00FD62DF"/>
    <w:rsid w:val="00FE0618"/>
    <w:rsid w:val="00FE32DF"/>
    <w:rsid w:val="00FE3863"/>
    <w:rsid w:val="00FE65EA"/>
    <w:rsid w:val="052B4CCF"/>
    <w:rsid w:val="055406CA"/>
    <w:rsid w:val="06246AA7"/>
    <w:rsid w:val="063A53C2"/>
    <w:rsid w:val="079B72D8"/>
    <w:rsid w:val="088614F4"/>
    <w:rsid w:val="08A70B11"/>
    <w:rsid w:val="08C41A7C"/>
    <w:rsid w:val="097B0C3B"/>
    <w:rsid w:val="1550158D"/>
    <w:rsid w:val="17DB29DD"/>
    <w:rsid w:val="239C7C03"/>
    <w:rsid w:val="36603F29"/>
    <w:rsid w:val="3A73172F"/>
    <w:rsid w:val="402F32F2"/>
    <w:rsid w:val="447D6881"/>
    <w:rsid w:val="4EEE51EB"/>
    <w:rsid w:val="543F12FB"/>
    <w:rsid w:val="56544A7E"/>
    <w:rsid w:val="5980475F"/>
    <w:rsid w:val="5F6A14DC"/>
    <w:rsid w:val="61C0255B"/>
    <w:rsid w:val="661F70AE"/>
    <w:rsid w:val="677671A1"/>
    <w:rsid w:val="73C63787"/>
    <w:rsid w:val="76E67343"/>
    <w:rsid w:val="7FB2376C"/>
    <w:rsid w:val="7FF90A48"/>
    <w:rsid w:val="EEF89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99"/>
  </w:style>
  <w:style w:type="paragraph" w:styleId="3">
    <w:name w:val="Balloon Text"/>
    <w:basedOn w:val="1"/>
    <w:link w:val="25"/>
    <w:autoRedefine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hint="eastAsia" w:cs="Times New Roman"/>
      <w:sz w:val="24"/>
      <w:szCs w:val="24"/>
    </w:rPr>
  </w:style>
  <w:style w:type="paragraph" w:styleId="7">
    <w:name w:val="Normal (Web)"/>
    <w:basedOn w:val="1"/>
    <w:autoRedefine/>
    <w:unhideWhenUsed/>
    <w:qFormat/>
    <w:uiPriority w:val="99"/>
    <w:rPr>
      <w:sz w:val="24"/>
    </w:rPr>
  </w:style>
  <w:style w:type="paragraph" w:styleId="8">
    <w:name w:val="Title"/>
    <w:basedOn w:val="1"/>
    <w:next w:val="1"/>
    <w:link w:val="18"/>
    <w:autoRedefine/>
    <w:qFormat/>
    <w:uiPriority w:val="99"/>
    <w:pPr>
      <w:spacing w:before="240" w:after="60"/>
      <w:jc w:val="center"/>
      <w:outlineLvl w:val="0"/>
    </w:pPr>
    <w:rPr>
      <w:rFonts w:ascii="等线 Light" w:hAnsi="等线 Light" w:cs="Times New Roman"/>
      <w:b/>
      <w:bCs/>
      <w:sz w:val="32"/>
      <w:szCs w:val="32"/>
    </w:rPr>
  </w:style>
  <w:style w:type="table" w:styleId="10">
    <w:name w:val="Table Grid"/>
    <w:basedOn w:val="9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autoRedefine/>
    <w:qFormat/>
    <w:uiPriority w:val="99"/>
    <w:rPr>
      <w:rFonts w:cs="Times New Roman"/>
      <w:i/>
      <w:iCs/>
    </w:rPr>
  </w:style>
  <w:style w:type="character" w:styleId="13">
    <w:name w:val="Hyperlink"/>
    <w:autoRedefine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autoRedefine/>
    <w:qFormat/>
    <w:uiPriority w:val="99"/>
    <w:rPr>
      <w:rFonts w:cs="Times New Roman"/>
      <w:sz w:val="21"/>
      <w:szCs w:val="21"/>
    </w:rPr>
  </w:style>
  <w:style w:type="character" w:customStyle="1" w:styleId="15">
    <w:name w:val="批注文字 字符"/>
    <w:link w:val="2"/>
    <w:autoRedefine/>
    <w:qFormat/>
    <w:locked/>
    <w:uiPriority w:val="99"/>
    <w:rPr>
      <w:rFonts w:ascii="宋体" w:hAnsi="宋体" w:eastAsia="宋体" w:cs="宋体"/>
      <w:kern w:val="0"/>
      <w:sz w:val="22"/>
    </w:rPr>
  </w:style>
  <w:style w:type="character" w:customStyle="1" w:styleId="16">
    <w:name w:val="页脚 字符"/>
    <w:link w:val="4"/>
    <w:autoRedefine/>
    <w:qFormat/>
    <w:locked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7">
    <w:name w:val="页眉 字符"/>
    <w:link w:val="5"/>
    <w:autoRedefine/>
    <w:qFormat/>
    <w:locked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8">
    <w:name w:val="标题 字符"/>
    <w:link w:val="8"/>
    <w:autoRedefine/>
    <w:qFormat/>
    <w:locked/>
    <w:uiPriority w:val="99"/>
    <w:rPr>
      <w:rFonts w:ascii="等线 Light" w:hAnsi="等线 Light" w:eastAsia="宋体" w:cs="Times New Roman"/>
      <w:b/>
      <w:bCs/>
      <w:kern w:val="0"/>
      <w:sz w:val="32"/>
      <w:szCs w:val="32"/>
    </w:rPr>
  </w:style>
  <w:style w:type="paragraph" w:customStyle="1" w:styleId="19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20">
    <w:name w:val="论文规范一级标题"/>
    <w:basedOn w:val="8"/>
    <w:autoRedefine/>
    <w:qFormat/>
    <w:uiPriority w:val="99"/>
    <w:pPr>
      <w:autoSpaceDE/>
      <w:autoSpaceDN/>
      <w:spacing w:before="0" w:after="0"/>
    </w:pPr>
    <w:rPr>
      <w:rFonts w:ascii="Cambria" w:hAnsi="Cambria" w:eastAsia="等线"/>
      <w:kern w:val="2"/>
    </w:rPr>
  </w:style>
  <w:style w:type="character" w:customStyle="1" w:styleId="21">
    <w:name w:val="未处理的提及1"/>
    <w:autoRedefine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22">
    <w:name w:val="style101"/>
    <w:autoRedefine/>
    <w:qFormat/>
    <w:uiPriority w:val="99"/>
    <w:rPr>
      <w:b/>
      <w:sz w:val="24"/>
    </w:rPr>
  </w:style>
  <w:style w:type="paragraph" w:customStyle="1" w:styleId="23">
    <w:name w:val="cjk"/>
    <w:basedOn w:val="1"/>
    <w:autoRedefine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批注框文本 字符"/>
    <w:link w:val="3"/>
    <w:semiHidden/>
    <w:qFormat/>
    <w:locked/>
    <w:uiPriority w:val="99"/>
    <w:rPr>
      <w:rFonts w:ascii="宋体" w:hAnsi="宋体" w:eastAsia="宋体" w:cs="宋体"/>
      <w:sz w:val="18"/>
      <w:szCs w:val="18"/>
    </w:rPr>
  </w:style>
  <w:style w:type="paragraph" w:customStyle="1" w:styleId="26">
    <w:name w:val="修订1"/>
    <w:autoRedefine/>
    <w:hidden/>
    <w:semiHidden/>
    <w:qFormat/>
    <w:uiPriority w:val="99"/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2914</Words>
  <Characters>516</Characters>
  <Lines>4</Lines>
  <Paragraphs>6</Paragraphs>
  <TotalTime>0</TotalTime>
  <ScaleCrop>false</ScaleCrop>
  <LinksUpToDate>false</LinksUpToDate>
  <CharactersWithSpaces>3424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2022-02-27T10:04:00Z</dcterms:created>
  <dc:creator>liujun</dc:creator>
  <cp:lastModifiedBy>Administrator</cp:lastModifiedBy>
  <cp:lastPrinted>2022-01-09T06:34:00Z</cp:lastPrinted>
  <dcterms:modified xsi:type="dcterms:W3CDTF">2024-03-15T04:09:45Z</dcterms:modified>
  <dc:title>附件3： 理论课、独立设置的实验（实训）课大纲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E33881A641784AB0843329582B76FD91</vt:lpwstr>
  </property>
</Properties>
</file>